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10"/>
          <w:szCs w:val="10"/>
        </w:rPr>
      </w:pPr>
      <w:r>
        <w:rPr>
          <w:b/>
          <w:sz w:val="72"/>
          <w:szCs w:val="72"/>
          <w:rtl w:val="0"/>
        </w:rPr>
        <w:t xml:space="preserve"> FICHE ACTION VNE N°4</w:t>
      </w:r>
      <w:r>
        <w:rPr>
          <w:rtl w:val="0"/>
        </w:rPr>
      </w:r>
      <w:r>
        <w:rPr>
          <w:b/>
          <w:sz w:val="10"/>
          <w:szCs w:val="10"/>
        </w:rPr>
      </w:r>
    </w:p>
    <w:tbl>
      <w:tblPr>
        <w:tblStyle w:val="697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510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221400"/>
                      <wp:effectExtent l="0" t="0" r="0" b="0"/>
                      <wp:docPr id="1" name="image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jp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2214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2.52pt;height:17.43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75933" cy="475933"/>
                      <wp:effectExtent l="0" t="0" r="0" b="0"/>
                      <wp:docPr id="2" name="image1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jpg"/>
                              <pic:cNvPicPr/>
                              <pic:nvPr/>
                            </pic:nvPicPr>
                            <pic:blipFill>
                              <a:blip r:embed="rId10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75933" cy="475933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37.48pt;height:37.48pt;mso-wrap-distance-left:0.00pt;mso-wrap-distance-top:0.00pt;mso-wrap-distance-right:0.00pt;mso-wrap-distance-bottom:0.00pt;z-index:1;">
                      <v:imagedata r:id="rId10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rtl w:val="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f1c40f"/>
              </w:rPr>
            </w:pPr>
            <w:r>
              <w:rPr>
                <w:shd w:val="clear" w:color="auto" w:fill="f1c40f"/>
                <w:rtl w:val="0"/>
              </w:rPr>
              <w:t xml:space="preserve">AXE III</w:t>
            </w:r>
            <w:r>
              <w:rPr>
                <w:shd w:val="clear" w:color="auto" w:fill="f1c40f"/>
              </w:rPr>
            </w:r>
            <w:r>
              <w:rPr>
                <w:shd w:val="clear" w:color="auto" w:fill="b497d6"/>
                <w:rtl w:val="0"/>
              </w:rPr>
            </w:r>
            <w:r>
              <w:rPr>
                <w:shd w:val="clear" w:color="auto" w:fill="b497d6"/>
              </w:rPr>
            </w:r>
            <w:r>
              <w:rPr>
                <w:shd w:val="clear" w:color="auto" w:fill="f1c40f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Validation à faire par le CD83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Créer et déployer une identité graphique commune aux acteurs de l’inclusion numérique contributeurs de Var Numérique Ensemble (VNE)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CD83 - DIM/DME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Chargés de coopération CTG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Employeurs de conseiller/médiateur numérique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Préfecture du 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CONTRIBUTEURS/ACTEURS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Contributeurs VNE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SCORE CONSULTATION ÉTÉ 2025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jc w:val="both"/>
              <w:rPr/>
            </w:pPr>
            <w:r>
              <w:rPr>
                <w:rtl w:val="0"/>
              </w:rPr>
              <w:t xml:space="preserve">66 </w:t>
            </w:r>
            <w:r>
              <w:rPr>
                <w:rtl w:val="0"/>
              </w:rPr>
              <w:t xml:space="preserve">(fusion fiche action 4 et 4a) ; Top 5</w:t>
            </w:r>
            <w:r/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L’un des enjeux de Var Numérique Ensemble est de développer la lisibilité et la visibilité à l’offre de l’inclusion numérique .</w:t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Lisibilité: un travail sur Soliguide est en cours pour que tous les porteurs d’actions d’inclusio</w:t>
            </w:r>
            <w:r>
              <w:rPr>
                <w:rtl w:val="0"/>
              </w:rPr>
              <w:t xml:space="preserve">n numérique réalisées dans le cadre de VNE soient référencées afin de faciliter l’interconnaissance et d’assurer un premier niveau d’information à l’intention des professionnels  potentiels prescripteurs de l’offre d’inclusion numérique auprès des usagers.</w:t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Visibilité: pour les financeurs et pour les usagers la visibilité de l’offre ramifiée d’inclusion numérique reposera sur une </w:t>
            </w:r>
            <w:r>
              <w:rPr>
                <w:rtl w:val="0"/>
              </w:rPr>
              <w:t xml:space="preserve">bannière commune, une identité graphique adossée à un label “VNE” et renforçant la communauté de l’inclusion numérique du Var que doit promouvoir VNE.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Un manque de visibilité de l’offre très ramifiée.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Doit pouvoir s’adapter aux chartes graphiques de chacun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Dans une démarche “0 exclusion”, le dispositif de communication doit porter autant sur les supports physiques que numériques.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Cet outil devant contribuer au lancement de VNE, sa réalisation est prioritaire 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RÉPONSE À DEMANDE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/>
            <w:hyperlink r:id="rId11" w:tooltip="https://anct.gouv.fr/ressources/feuille-de-route-france-numerique-ensemble-pour-l-inclusion-numerique-2023-2027" w:history="1">
              <w:r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FNE</w:t>
              </w:r>
            </w:hyperlink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10 - Labelliser les lieux d'accueil des publics déployant des pratiques et des compétences à destination des publics éloignés du numérique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 w:firstLine="0" w:left="0"/>
              <w:rPr>
                <w:sz w:val="24"/>
                <w:szCs w:val="24"/>
              </w:rPr>
            </w:pPr>
            <w:r/>
            <w:hyperlink r:id="rId12" w:tooltip="https://www.senat.fr/rap/r19-711/r19-711-syn.pdf" w:history="1">
              <w:r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SÉNAT</w:t>
              </w:r>
            </w:hyperlink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/>
            <w:hyperlink r:id="rId13" w:tooltip="https://www.senat.fr/rap/r21-588/r21-588_mono.html" w:history="1">
              <w:r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COMMISSION</w:t>
              </w:r>
            </w:hyperlink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Assurer l’identification par les usagers de ce qui relève de l’inclusion numérique dans le Var réalisée dans le cadre de VNE</w:t>
            </w:r>
            <w:r/>
          </w:p>
          <w:p>
            <w:pPr>
              <w:numPr>
                <w:ilvl w:val="1"/>
                <w:numId w:val="11"/>
              </w:numPr>
              <w:pBdr/>
              <w:spacing/>
              <w:ind w:hanging="360" w:left="1440"/>
              <w:rPr>
                <w:u w:val="none"/>
              </w:rPr>
            </w:pPr>
            <w:r>
              <w:rPr>
                <w:rtl w:val="0"/>
              </w:rPr>
              <w:t xml:space="preserve">Doter la communauté de la médiation numérique du Var d’une bannière commune</w:t>
            </w:r>
            <w:r>
              <w:rPr>
                <w:u w:val="none"/>
              </w:rPr>
            </w:r>
          </w:p>
          <w:p>
            <w:pPr>
              <w:numPr>
                <w:ilvl w:val="2"/>
                <w:numId w:val="11"/>
              </w:numPr>
              <w:pBdr/>
              <w:spacing/>
              <w:ind w:hanging="360" w:left="2160"/>
              <w:rPr/>
            </w:pPr>
            <w:r>
              <w:rPr>
                <w:rtl w:val="0"/>
              </w:rPr>
              <w:t xml:space="preserve">Stabiliser le glossaire</w:t>
            </w:r>
            <w:r/>
          </w:p>
          <w:p>
            <w:pPr>
              <w:numPr>
                <w:ilvl w:val="2"/>
                <w:numId w:val="11"/>
              </w:numPr>
              <w:pBdr/>
              <w:spacing/>
              <w:ind w:hanging="360" w:left="2160"/>
              <w:rPr>
                <w:u w:val="none"/>
              </w:rPr>
            </w:pPr>
            <w:r>
              <w:rPr>
                <w:rtl w:val="0"/>
              </w:rPr>
              <w:t xml:space="preserve">Concevoir l’identité graphique</w:t>
            </w:r>
            <w:r>
              <w:rPr>
                <w:u w:val="none"/>
              </w:rPr>
            </w:r>
          </w:p>
          <w:p>
            <w:pPr>
              <w:numPr>
                <w:ilvl w:val="2"/>
                <w:numId w:val="11"/>
              </w:numPr>
              <w:pBdr/>
              <w:spacing/>
              <w:ind w:hanging="360" w:left="2160"/>
              <w:rPr>
                <w:u w:val="none"/>
              </w:rPr>
            </w:pPr>
            <w:r>
              <w:rPr>
                <w:rtl w:val="0"/>
              </w:rPr>
              <w:t xml:space="preserve">Produire des livrables</w:t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En s’appuyant sur l’expérience de l’Etat quant à une communication harmonisée, menée dans le cadre des Conseillers Numériques, il a été décidé d’opter pour une identité graphique qui s’adapte aux communications existantes.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Besoins auxquels l’identité graphique devra répondre : </w:t>
            </w:r>
            <w:r/>
          </w:p>
          <w:p>
            <w:pPr>
              <w:numPr>
                <w:ilvl w:val="0"/>
                <w:numId w:val="6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Faciliter l’identification par les usagers d’actions relevant de l’inclusion numérique VNE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6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Permettre aux associations et communes de faire de la communication en s’appuyant sur des supports physiques ou numériques en marque blanche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6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Créer une communauté de la médiation numérique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6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Permettre </w:t>
            </w:r>
            <w:r>
              <w:rPr>
                <w:rtl w:val="0"/>
              </w:rPr>
              <w:t xml:space="preserve">de communiquer en mode “hors-les-murs”</w:t>
            </w:r>
            <w:r>
              <w:rPr>
                <w:u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 w:firstLine="0" w:left="0"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Pour ce faire, le Département sollicite  dans le cadre de FNE une subvention à hauteur de 30000€ pour produire cette identité graphique.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Suites aux échanges avec les acteurs du territoire, deux niveaux d’harmonisation ont été déterminés : 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Niveau 1 :</w:t>
            </w:r>
            <w:r/>
          </w:p>
          <w:p>
            <w:pPr>
              <w:numPr>
                <w:ilvl w:val="0"/>
                <w:numId w:val="2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Un logo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2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Une mascotte anthropomorphe (ou figure identifiable et fédératrice)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2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Un glossaire, pour un langage harmonisé</w:t>
            </w:r>
            <w:r>
              <w:rPr>
                <w:rtl w:val="0"/>
              </w:rPr>
            </w:r>
            <w:r>
              <w:rPr>
                <w:u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Niveau 2 : kit de communication</w:t>
            </w:r>
            <w:r/>
          </w:p>
          <w:p>
            <w:pPr>
              <w:numPr>
                <w:ilvl w:val="0"/>
                <w:numId w:val="9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Des patrons (flyers, affiches, communication en ligne, etc.)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9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Mise à disposition de Kakémonos pour des évènements (Kakémonos customisable ? ; type picto-menu ?)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9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autres…</w:t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Mettre en place le marché (travail interne du CD)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5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Déterminer qui participe aux groupes de travail (validation fin octobre)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5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Valider avec les acteurs les résultats lors de réunions avec les acteurs (2 réunions en novembre/décembre)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5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1ère phase de communication : Début 2026 -&gt; CD83 ; Région ; Assos ; Opérateurs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5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2ème phase de communication : Mai 2026 -&gt; campagne de communication auprès des communes et EPCI avec les chargés de coopération CTG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5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3ème phase de communication : Septembre 2026 -&gt; mise en marche opérationnelle dans les communes et EPCI avec les chargés de coopération CTG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5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Bilan de l’action courant 2027</w:t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283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 DÉBUT: 07/10/2025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      FIN : </w:t>
            </w:r>
            <w:r>
              <w:rPr>
                <w:sz w:val="24"/>
                <w:szCs w:val="24"/>
                <w:rtl w:val="0"/>
              </w:rPr>
              <w:t xml:space="preserve">courant 202</w:t>
            </w:r>
            <w:r>
              <w:rPr>
                <w:sz w:val="24"/>
                <w:szCs w:val="24"/>
                <w:rtl w:val="0"/>
              </w:rPr>
              <w:t xml:space="preserve">6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Usagers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Professionnels</w:t>
            </w:r>
            <w:r>
              <w:rPr>
                <w:rtl w:val="0"/>
              </w:rPr>
              <w:t xml:space="preserve"> en charge de la communication des acteurs VNE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Identification par les usagers des actions relevant de l’inclusion numérique et de la médiation numérique réalisées par un contributeur VNE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Facilitation du travail de communication pour les </w:t>
            </w:r>
            <w:r>
              <w:rPr>
                <w:rtl w:val="0"/>
              </w:rPr>
              <w:t xml:space="preserve">structures porteuses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Développement d’un sentiment d’appartenance à la communauté  de l’inclusion numérique VNE</w:t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Acteurs volontaires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Temps humain CD83 pour marché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À déterminer. Basé sur enveloppe FNE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Phase conception: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d’acteurs participant à l’élaboration de l'identité graphique</w:t>
            </w:r>
            <w:r/>
          </w:p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Respect des délais</w:t>
            </w:r>
            <w:r/>
          </w:p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Phase exploitation: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porteurs d’action utilisant cette identité graphique(label/logo/mascotte voire plus)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Retour des usagers via mesure d’impact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/>
            <w:hyperlink r:id="rId14" w:tooltip="https://www.conseiller-numerique.gouv.fr/kit-communication" w:history="1">
              <w:r>
                <w:rPr>
                  <w:color w:val="1155cc"/>
                  <w:u w:val="single"/>
                  <w:rtl w:val="0"/>
                </w:rPr>
                <w:t xml:space="preserve">https://www.conseiller-numerique.gouv.fr/kit-communication</w:t>
              </w:r>
            </w:hyperlink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/>
            <w:hyperlink r:id="rId15" w:tooltip="https://www.canva.com/design/DAGxvj_xubI/J6Xbq1llOirJJsIFOg40EQ/edit" w:history="1">
              <w:r>
                <w:rPr>
                  <w:color w:val="1155cc"/>
                  <w:u w:val="single"/>
                  <w:rtl w:val="0"/>
                </w:rPr>
                <w:t xml:space="preserve">Canva tableau blanc brainstorming</w:t>
              </w:r>
            </w:hyperlink>
            <w:r>
              <w:rPr>
                <w:rtl w:val="0"/>
              </w:rPr>
            </w:r>
            <w:r/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7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8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9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">
    <w:name w:val="Table Grid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4">
    <w:name w:val="Heading 7"/>
    <w:basedOn w:val="688"/>
    <w:next w:val="68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88"/>
    <w:next w:val="688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88"/>
    <w:next w:val="688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numbering" w:styleId="148" w:default="1">
    <w:name w:val="No List"/>
    <w:uiPriority w:val="99"/>
    <w:semiHidden/>
    <w:unhideWhenUsed/>
    <w:pPr>
      <w:pBdr/>
      <w:spacing/>
      <w:ind/>
    </w:pPr>
  </w:style>
  <w:style w:type="character" w:styleId="149">
    <w:name w:val="Heading 1 Char"/>
    <w:basedOn w:val="147"/>
    <w:link w:val="6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69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6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69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69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69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147"/>
    <w:link w:val="69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147"/>
    <w:link w:val="69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88"/>
    <w:next w:val="688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88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88"/>
    <w:next w:val="688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88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88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88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88"/>
    <w:next w:val="68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88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88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88"/>
    <w:next w:val="688"/>
    <w:uiPriority w:val="39"/>
    <w:unhideWhenUsed/>
    <w:pPr>
      <w:pBdr/>
      <w:spacing w:after="100"/>
      <w:ind/>
    </w:pPr>
  </w:style>
  <w:style w:type="paragraph" w:styleId="189">
    <w:name w:val="toc 2"/>
    <w:basedOn w:val="688"/>
    <w:next w:val="688"/>
    <w:uiPriority w:val="39"/>
    <w:unhideWhenUsed/>
    <w:pPr>
      <w:pBdr/>
      <w:spacing w:after="100"/>
      <w:ind w:left="220"/>
    </w:pPr>
  </w:style>
  <w:style w:type="paragraph" w:styleId="190">
    <w:name w:val="toc 3"/>
    <w:basedOn w:val="688"/>
    <w:next w:val="688"/>
    <w:uiPriority w:val="39"/>
    <w:unhideWhenUsed/>
    <w:pPr>
      <w:pBdr/>
      <w:spacing w:after="100"/>
      <w:ind w:left="440"/>
    </w:pPr>
  </w:style>
  <w:style w:type="paragraph" w:styleId="191">
    <w:name w:val="toc 4"/>
    <w:basedOn w:val="688"/>
    <w:next w:val="688"/>
    <w:uiPriority w:val="39"/>
    <w:unhideWhenUsed/>
    <w:pPr>
      <w:pBdr/>
      <w:spacing w:after="100"/>
      <w:ind w:left="660"/>
    </w:pPr>
  </w:style>
  <w:style w:type="paragraph" w:styleId="192">
    <w:name w:val="toc 5"/>
    <w:basedOn w:val="688"/>
    <w:next w:val="688"/>
    <w:uiPriority w:val="39"/>
    <w:unhideWhenUsed/>
    <w:pPr>
      <w:pBdr/>
      <w:spacing w:after="100"/>
      <w:ind w:left="880"/>
    </w:pPr>
  </w:style>
  <w:style w:type="paragraph" w:styleId="193">
    <w:name w:val="toc 6"/>
    <w:basedOn w:val="688"/>
    <w:next w:val="688"/>
    <w:uiPriority w:val="39"/>
    <w:unhideWhenUsed/>
    <w:pPr>
      <w:pBdr/>
      <w:spacing w:after="100"/>
      <w:ind w:left="1100"/>
    </w:pPr>
  </w:style>
  <w:style w:type="paragraph" w:styleId="194">
    <w:name w:val="toc 7"/>
    <w:basedOn w:val="688"/>
    <w:next w:val="688"/>
    <w:uiPriority w:val="39"/>
    <w:unhideWhenUsed/>
    <w:pPr>
      <w:pBdr/>
      <w:spacing w:after="100"/>
      <w:ind w:left="1320"/>
    </w:pPr>
  </w:style>
  <w:style w:type="paragraph" w:styleId="195">
    <w:name w:val="toc 8"/>
    <w:basedOn w:val="688"/>
    <w:next w:val="688"/>
    <w:uiPriority w:val="39"/>
    <w:unhideWhenUsed/>
    <w:pPr>
      <w:pBdr/>
      <w:spacing w:after="100"/>
      <w:ind w:left="1540"/>
    </w:pPr>
  </w:style>
  <w:style w:type="paragraph" w:styleId="196">
    <w:name w:val="toc 9"/>
    <w:basedOn w:val="688"/>
    <w:next w:val="688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88"/>
    <w:next w:val="688"/>
    <w:uiPriority w:val="99"/>
    <w:unhideWhenUsed/>
    <w:pPr>
      <w:pBdr/>
      <w:spacing w:after="0" w:afterAutospacing="0"/>
      <w:ind/>
    </w:pPr>
  </w:style>
  <w:style w:type="table" w:styleId="687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88" w:default="1">
    <w:name w:val="Normal"/>
    <w:pPr>
      <w:pBdr/>
      <w:spacing/>
      <w:ind/>
    </w:pPr>
  </w:style>
  <w:style w:type="paragraph" w:styleId="689">
    <w:name w:val="Heading 1"/>
    <w:basedOn w:val="688"/>
    <w:next w:val="688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690">
    <w:name w:val="Heading 2"/>
    <w:basedOn w:val="688"/>
    <w:next w:val="688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691">
    <w:name w:val="Heading 3"/>
    <w:basedOn w:val="688"/>
    <w:next w:val="688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692">
    <w:name w:val="Heading 4"/>
    <w:basedOn w:val="688"/>
    <w:next w:val="688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693">
    <w:name w:val="Heading 5"/>
    <w:basedOn w:val="688"/>
    <w:next w:val="688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694">
    <w:name w:val="Heading 6"/>
    <w:basedOn w:val="688"/>
    <w:next w:val="688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695">
    <w:name w:val="Title"/>
    <w:basedOn w:val="688"/>
    <w:next w:val="688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696">
    <w:name w:val="Subtitle"/>
    <w:basedOn w:val="688"/>
    <w:next w:val="688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697">
    <w:name w:val="StGen0"/>
    <w:basedOn w:val="687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hyperlink" Target="https://anct.gouv.fr/ressources/feuille-de-route-france-numerique-ensemble-pour-l-inclusion-numerique-2023-2027" TargetMode="External"/><Relationship Id="rId12" Type="http://schemas.openxmlformats.org/officeDocument/2006/relationships/hyperlink" Target="https://www.senat.fr/rap/r19-711/r19-711-syn.pdf" TargetMode="External"/><Relationship Id="rId13" Type="http://schemas.openxmlformats.org/officeDocument/2006/relationships/hyperlink" Target="https://www.senat.fr/rap/r21-588/r21-588_mono.html" TargetMode="External"/><Relationship Id="rId14" Type="http://schemas.openxmlformats.org/officeDocument/2006/relationships/hyperlink" Target="https://www.conseiller-numerique.gouv.fr/kit-communication" TargetMode="External"/><Relationship Id="rId15" Type="http://schemas.openxmlformats.org/officeDocument/2006/relationships/hyperlink" Target="https://www.canva.com/design/DAGxvj_xubI/J6Xbq1llOirJJsIFOg40EQ/edit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